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附件1：</w:t>
      </w:r>
    </w:p>
    <w:p>
      <w:pPr>
        <w:spacing w:line="50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宁波职业技术学院2019年专项课题申报指南</w:t>
      </w:r>
    </w:p>
    <w:p>
      <w:pPr>
        <w:jc w:val="left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jc w:val="left"/>
        <w:rPr>
          <w:rFonts w:ascii="仿宋_GB2312" w:eastAsia="仿宋_GB2312"/>
          <w:b/>
          <w:sz w:val="26"/>
          <w:szCs w:val="26"/>
        </w:rPr>
      </w:pPr>
      <w:r>
        <w:rPr>
          <w:rFonts w:hint="eastAsia" w:ascii="仿宋_GB2312" w:eastAsia="仿宋_GB2312"/>
          <w:b/>
          <w:sz w:val="26"/>
          <w:szCs w:val="26"/>
        </w:rPr>
        <w:t>一、学校行政管理专项课题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1.学校内部会议室登记编排系统设计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2.学校制度文件审核会签机制研究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3.省内高职校园内部综合行政网站比例研究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4.校内档案管理机制研究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5.教学单位二级管理体制机制研究</w:t>
      </w:r>
    </w:p>
    <w:p>
      <w:pPr>
        <w:spacing w:line="520" w:lineRule="exact"/>
        <w:jc w:val="left"/>
        <w:rPr>
          <w:rFonts w:ascii="仿宋_GB2312" w:eastAsia="仿宋_GB2312"/>
          <w:b/>
          <w:sz w:val="26"/>
          <w:szCs w:val="26"/>
        </w:rPr>
      </w:pPr>
      <w:r>
        <w:rPr>
          <w:rFonts w:hint="eastAsia" w:ascii="仿宋_GB2312" w:eastAsia="仿宋_GB2312"/>
          <w:b/>
          <w:sz w:val="26"/>
          <w:szCs w:val="26"/>
        </w:rPr>
        <w:t>二、高水平师资队伍建设专项课题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6</w:t>
      </w:r>
      <w:r>
        <w:rPr>
          <w:rFonts w:ascii="仿宋_GB2312" w:eastAsia="仿宋_GB2312"/>
          <w:sz w:val="26"/>
          <w:szCs w:val="26"/>
        </w:rPr>
        <w:t>.</w:t>
      </w:r>
      <w:r>
        <w:rPr>
          <w:rFonts w:hint="eastAsia" w:ascii="仿宋_GB2312" w:eastAsia="仿宋_GB2312"/>
          <w:sz w:val="26"/>
          <w:szCs w:val="26"/>
        </w:rPr>
        <w:t>师德师风考核的有效机制及评价指标体系研究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7</w:t>
      </w:r>
      <w:r>
        <w:rPr>
          <w:rFonts w:ascii="仿宋_GB2312" w:eastAsia="仿宋_GB2312"/>
          <w:sz w:val="26"/>
          <w:szCs w:val="26"/>
        </w:rPr>
        <w:t>.</w:t>
      </w:r>
      <w:r>
        <w:rPr>
          <w:rFonts w:hint="eastAsia" w:ascii="仿宋_GB2312" w:eastAsia="仿宋_GB2312"/>
          <w:sz w:val="26"/>
          <w:szCs w:val="26"/>
        </w:rPr>
        <w:t>青年教师培养策略体系国际比较研究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8</w:t>
      </w:r>
      <w:r>
        <w:rPr>
          <w:rFonts w:ascii="仿宋_GB2312" w:eastAsia="仿宋_GB2312"/>
          <w:sz w:val="26"/>
          <w:szCs w:val="26"/>
        </w:rPr>
        <w:t>.</w:t>
      </w:r>
      <w:r>
        <w:rPr>
          <w:rFonts w:hint="eastAsia" w:ascii="仿宋_GB2312" w:eastAsia="仿宋_GB2312"/>
          <w:sz w:val="26"/>
          <w:szCs w:val="26"/>
        </w:rPr>
        <w:t>青年教师队伍素质提升平台建设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9</w:t>
      </w:r>
      <w:r>
        <w:rPr>
          <w:rFonts w:ascii="仿宋_GB2312" w:eastAsia="仿宋_GB2312"/>
          <w:sz w:val="26"/>
          <w:szCs w:val="26"/>
        </w:rPr>
        <w:t>.</w:t>
      </w:r>
      <w:r>
        <w:rPr>
          <w:rFonts w:hint="eastAsia" w:ascii="仿宋_GB2312" w:eastAsia="仿宋_GB2312"/>
          <w:sz w:val="26"/>
          <w:szCs w:val="26"/>
        </w:rPr>
        <w:t>“双师双能”教师培养策略与路径研究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10</w:t>
      </w:r>
      <w:r>
        <w:rPr>
          <w:rFonts w:ascii="仿宋_GB2312" w:eastAsia="仿宋_GB2312"/>
          <w:sz w:val="26"/>
          <w:szCs w:val="26"/>
        </w:rPr>
        <w:t>.</w:t>
      </w:r>
      <w:r>
        <w:rPr>
          <w:rFonts w:hint="eastAsia" w:ascii="仿宋_GB2312" w:eastAsia="仿宋_GB2312"/>
          <w:sz w:val="26"/>
          <w:szCs w:val="26"/>
        </w:rPr>
        <w:t>“双师双能双语”教师认定与培养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11</w:t>
      </w:r>
      <w:r>
        <w:rPr>
          <w:rFonts w:ascii="仿宋_GB2312" w:eastAsia="仿宋_GB2312"/>
          <w:sz w:val="26"/>
          <w:szCs w:val="26"/>
        </w:rPr>
        <w:t>.</w:t>
      </w:r>
      <w:r>
        <w:rPr>
          <w:rFonts w:hint="eastAsia" w:ascii="仿宋_GB2312" w:eastAsia="仿宋_GB2312"/>
          <w:sz w:val="26"/>
          <w:szCs w:val="26"/>
        </w:rPr>
        <w:t>分类分层的校本培训体系和制度设计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12</w:t>
      </w:r>
      <w:r>
        <w:rPr>
          <w:rFonts w:ascii="仿宋_GB2312" w:eastAsia="仿宋_GB2312"/>
          <w:sz w:val="26"/>
          <w:szCs w:val="26"/>
        </w:rPr>
        <w:t>.</w:t>
      </w:r>
      <w:r>
        <w:rPr>
          <w:rFonts w:hint="eastAsia" w:ascii="仿宋_GB2312" w:eastAsia="仿宋_GB2312"/>
          <w:sz w:val="26"/>
          <w:szCs w:val="26"/>
        </w:rPr>
        <w:t>教师分类考核与晋升制度设计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13</w:t>
      </w:r>
      <w:r>
        <w:rPr>
          <w:rFonts w:ascii="仿宋_GB2312" w:eastAsia="仿宋_GB2312"/>
          <w:sz w:val="26"/>
          <w:szCs w:val="26"/>
        </w:rPr>
        <w:t>.</w:t>
      </w:r>
      <w:r>
        <w:rPr>
          <w:rFonts w:hint="eastAsia" w:ascii="仿宋_GB2312" w:eastAsia="仿宋_GB2312"/>
          <w:sz w:val="26"/>
          <w:szCs w:val="26"/>
        </w:rPr>
        <w:t>兼职教师培训与聘用机制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ascii="仿宋_GB2312" w:eastAsia="仿宋_GB2312"/>
          <w:sz w:val="26"/>
          <w:szCs w:val="26"/>
        </w:rPr>
        <w:t>1</w:t>
      </w:r>
      <w:r>
        <w:rPr>
          <w:rFonts w:hint="eastAsia" w:ascii="仿宋_GB2312" w:eastAsia="仿宋_GB2312"/>
          <w:sz w:val="26"/>
          <w:szCs w:val="26"/>
        </w:rPr>
        <w:t>4</w:t>
      </w:r>
      <w:r>
        <w:rPr>
          <w:rFonts w:ascii="仿宋_GB2312" w:eastAsia="仿宋_GB2312"/>
          <w:sz w:val="26"/>
          <w:szCs w:val="26"/>
        </w:rPr>
        <w:t>.</w:t>
      </w:r>
      <w:r>
        <w:rPr>
          <w:rFonts w:hint="eastAsia" w:ascii="仿宋_GB2312" w:eastAsia="仿宋_GB2312"/>
          <w:sz w:val="26"/>
          <w:szCs w:val="26"/>
        </w:rPr>
        <w:t>兼职教师资源库系统平台开发与应用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ascii="仿宋_GB2312" w:eastAsia="仿宋_GB2312"/>
          <w:sz w:val="26"/>
          <w:szCs w:val="26"/>
        </w:rPr>
        <w:t>1</w:t>
      </w:r>
      <w:r>
        <w:rPr>
          <w:rFonts w:hint="eastAsia" w:ascii="仿宋_GB2312" w:eastAsia="仿宋_GB2312"/>
          <w:sz w:val="26"/>
          <w:szCs w:val="26"/>
        </w:rPr>
        <w:t>5</w:t>
      </w:r>
      <w:r>
        <w:rPr>
          <w:rFonts w:ascii="仿宋_GB2312" w:eastAsia="仿宋_GB2312"/>
          <w:sz w:val="26"/>
          <w:szCs w:val="26"/>
        </w:rPr>
        <w:t>.</w:t>
      </w:r>
      <w:r>
        <w:rPr>
          <w:rFonts w:hint="eastAsia" w:ascii="仿宋_GB2312" w:eastAsia="仿宋_GB2312"/>
          <w:sz w:val="26"/>
          <w:szCs w:val="26"/>
        </w:rPr>
        <w:t>校企合作有效化视角下的专兼教师双向互聘机制研究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ascii="仿宋_GB2312" w:eastAsia="仿宋_GB2312"/>
          <w:sz w:val="26"/>
          <w:szCs w:val="26"/>
        </w:rPr>
        <w:t>1</w:t>
      </w:r>
      <w:r>
        <w:rPr>
          <w:rFonts w:hint="eastAsia" w:ascii="仿宋_GB2312" w:eastAsia="仿宋_GB2312"/>
          <w:sz w:val="26"/>
          <w:szCs w:val="26"/>
        </w:rPr>
        <w:t>6</w:t>
      </w:r>
      <w:r>
        <w:rPr>
          <w:rFonts w:ascii="仿宋_GB2312" w:eastAsia="仿宋_GB2312"/>
          <w:sz w:val="26"/>
          <w:szCs w:val="26"/>
        </w:rPr>
        <w:t>.</w:t>
      </w:r>
      <w:r>
        <w:rPr>
          <w:rFonts w:hint="eastAsia" w:ascii="仿宋_GB2312" w:eastAsia="仿宋_GB2312"/>
          <w:sz w:val="26"/>
          <w:szCs w:val="26"/>
        </w:rPr>
        <w:t>兼职教师与专职教师联合培养的对策研究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ascii="仿宋_GB2312" w:eastAsia="仿宋_GB2312"/>
          <w:sz w:val="26"/>
          <w:szCs w:val="26"/>
        </w:rPr>
        <w:t>1</w:t>
      </w:r>
      <w:r>
        <w:rPr>
          <w:rFonts w:hint="eastAsia" w:ascii="仿宋_GB2312" w:eastAsia="仿宋_GB2312"/>
          <w:sz w:val="26"/>
          <w:szCs w:val="26"/>
        </w:rPr>
        <w:t>7</w:t>
      </w:r>
      <w:r>
        <w:rPr>
          <w:rFonts w:ascii="仿宋_GB2312" w:eastAsia="仿宋_GB2312"/>
          <w:sz w:val="26"/>
          <w:szCs w:val="26"/>
        </w:rPr>
        <w:t>.</w:t>
      </w:r>
      <w:r>
        <w:rPr>
          <w:rFonts w:hint="eastAsia" w:ascii="仿宋_GB2312" w:eastAsia="仿宋_GB2312"/>
          <w:sz w:val="26"/>
          <w:szCs w:val="26"/>
        </w:rPr>
        <w:t>兼职教师的考核和评价体系构建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ascii="仿宋_GB2312" w:eastAsia="仿宋_GB2312"/>
          <w:sz w:val="26"/>
          <w:szCs w:val="26"/>
        </w:rPr>
        <w:t>1</w:t>
      </w:r>
      <w:r>
        <w:rPr>
          <w:rFonts w:hint="eastAsia" w:ascii="仿宋_GB2312" w:eastAsia="仿宋_GB2312"/>
          <w:sz w:val="26"/>
          <w:szCs w:val="26"/>
        </w:rPr>
        <w:t>8</w:t>
      </w:r>
      <w:r>
        <w:rPr>
          <w:rFonts w:ascii="仿宋_GB2312" w:eastAsia="仿宋_GB2312"/>
          <w:sz w:val="26"/>
          <w:szCs w:val="26"/>
        </w:rPr>
        <w:t>.</w:t>
      </w:r>
      <w:r>
        <w:rPr>
          <w:rFonts w:hint="eastAsia" w:ascii="仿宋_GB2312" w:eastAsia="仿宋_GB2312"/>
          <w:sz w:val="26"/>
          <w:szCs w:val="26"/>
        </w:rPr>
        <w:t>教师人才梯队与团队的创建策略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ascii="仿宋_GB2312" w:eastAsia="仿宋_GB2312"/>
          <w:sz w:val="26"/>
          <w:szCs w:val="26"/>
        </w:rPr>
        <w:t>1</w:t>
      </w:r>
      <w:r>
        <w:rPr>
          <w:rFonts w:hint="eastAsia" w:ascii="仿宋_GB2312" w:eastAsia="仿宋_GB2312"/>
          <w:sz w:val="26"/>
          <w:szCs w:val="26"/>
        </w:rPr>
        <w:t>9</w:t>
      </w:r>
      <w:r>
        <w:rPr>
          <w:rFonts w:ascii="仿宋_GB2312" w:eastAsia="仿宋_GB2312"/>
          <w:sz w:val="26"/>
          <w:szCs w:val="26"/>
        </w:rPr>
        <w:t>.</w:t>
      </w:r>
      <w:r>
        <w:rPr>
          <w:rFonts w:hint="eastAsia" w:ascii="仿宋_GB2312" w:eastAsia="仿宋_GB2312"/>
          <w:sz w:val="26"/>
          <w:szCs w:val="26"/>
        </w:rPr>
        <w:t>宁波职业技术学院师资生态系统建设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20</w:t>
      </w:r>
      <w:r>
        <w:rPr>
          <w:rFonts w:ascii="仿宋_GB2312" w:eastAsia="仿宋_GB2312"/>
          <w:sz w:val="26"/>
          <w:szCs w:val="26"/>
        </w:rPr>
        <w:t>.</w:t>
      </w:r>
      <w:r>
        <w:rPr>
          <w:rFonts w:hint="eastAsia" w:ascii="仿宋_GB2312" w:eastAsia="仿宋_GB2312"/>
          <w:sz w:val="26"/>
          <w:szCs w:val="26"/>
        </w:rPr>
        <w:t>高层次人才引进的问题与对策研究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21</w:t>
      </w:r>
      <w:r>
        <w:rPr>
          <w:rFonts w:ascii="仿宋_GB2312" w:eastAsia="仿宋_GB2312"/>
          <w:sz w:val="26"/>
          <w:szCs w:val="26"/>
        </w:rPr>
        <w:t>.</w:t>
      </w:r>
      <w:r>
        <w:rPr>
          <w:rFonts w:hint="eastAsia" w:ascii="仿宋_GB2312" w:eastAsia="仿宋_GB2312"/>
          <w:sz w:val="26"/>
          <w:szCs w:val="26"/>
        </w:rPr>
        <w:t>高层次人才的激励制度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22</w:t>
      </w:r>
      <w:r>
        <w:rPr>
          <w:rFonts w:ascii="仿宋_GB2312" w:eastAsia="仿宋_GB2312"/>
          <w:sz w:val="26"/>
          <w:szCs w:val="26"/>
        </w:rPr>
        <w:t>.</w:t>
      </w:r>
      <w:r>
        <w:rPr>
          <w:rFonts w:hint="eastAsia" w:ascii="仿宋_GB2312" w:eastAsia="仿宋_GB2312"/>
          <w:sz w:val="26"/>
          <w:szCs w:val="26"/>
        </w:rPr>
        <w:t>业绩导向的高层次人才引进、使用和激励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ascii="仿宋_GB2312" w:eastAsia="仿宋_GB2312"/>
          <w:sz w:val="26"/>
          <w:szCs w:val="26"/>
        </w:rPr>
        <w:t>2</w:t>
      </w:r>
      <w:r>
        <w:rPr>
          <w:rFonts w:hint="eastAsia" w:ascii="仿宋_GB2312" w:eastAsia="仿宋_GB2312"/>
          <w:sz w:val="26"/>
          <w:szCs w:val="26"/>
        </w:rPr>
        <w:t>3</w:t>
      </w:r>
      <w:r>
        <w:rPr>
          <w:rFonts w:ascii="仿宋_GB2312" w:eastAsia="仿宋_GB2312"/>
          <w:sz w:val="26"/>
          <w:szCs w:val="26"/>
        </w:rPr>
        <w:t>.</w:t>
      </w:r>
      <w:r>
        <w:rPr>
          <w:rFonts w:hint="eastAsia" w:ascii="仿宋_GB2312" w:eastAsia="仿宋_GB2312"/>
          <w:sz w:val="26"/>
          <w:szCs w:val="26"/>
        </w:rPr>
        <w:t>基于优劳优酬的分配激励机制</w:t>
      </w:r>
    </w:p>
    <w:p>
      <w:pPr>
        <w:spacing w:line="520" w:lineRule="exact"/>
        <w:jc w:val="left"/>
        <w:rPr>
          <w:rFonts w:ascii="仿宋_GB2312" w:eastAsia="仿宋_GB2312"/>
          <w:b/>
          <w:sz w:val="26"/>
          <w:szCs w:val="26"/>
        </w:rPr>
      </w:pPr>
      <w:r>
        <w:rPr>
          <w:rFonts w:hint="eastAsia" w:ascii="仿宋_GB2312" w:eastAsia="仿宋_GB2312"/>
          <w:b/>
          <w:sz w:val="26"/>
          <w:szCs w:val="26"/>
        </w:rPr>
        <w:t>三、继续教育与社会培训专项课题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24.新时代高职院校继续教育发展战略与制度创新研究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25.继续教育校企合作办学模式与长效机制研究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26.成人高等教育校外函授站、教学点的建设与管理研究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27.成人高等教育发展的现实障碍及其对策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28.成人高等教育质量保障与评估体系建设研究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29.非学历教育与企业继续教育联盟建设研究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30.非学历教育培训效果评价研究</w:t>
      </w:r>
    </w:p>
    <w:p>
      <w:pPr>
        <w:spacing w:line="520" w:lineRule="exact"/>
        <w:jc w:val="left"/>
        <w:rPr>
          <w:rFonts w:ascii="仿宋_GB2312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31.智能制造（现代物流、跨境电商）人才培养培训路径研究</w:t>
      </w:r>
    </w:p>
    <w:p>
      <w:pPr>
        <w:spacing w:line="520" w:lineRule="exact"/>
        <w:jc w:val="left"/>
        <w:rPr>
          <w:rFonts w:ascii="仿宋_GB2312" w:hAnsi="宋体" w:eastAsia="仿宋_GB2312"/>
          <w:sz w:val="26"/>
          <w:szCs w:val="26"/>
        </w:rPr>
      </w:pPr>
      <w:r>
        <w:rPr>
          <w:rFonts w:hint="eastAsia" w:ascii="仿宋_GB2312" w:eastAsia="仿宋_GB2312"/>
          <w:sz w:val="26"/>
          <w:szCs w:val="26"/>
        </w:rPr>
        <w:t>32.2+X（3+X）中高职（中西部）合作“技能+学历”人才培养体系构</w:t>
      </w:r>
      <w:r>
        <w:rPr>
          <w:rFonts w:hint="eastAsia" w:ascii="仿宋_GB2312" w:hAnsi="宋体" w:eastAsia="仿宋_GB2312"/>
          <w:sz w:val="26"/>
          <w:szCs w:val="26"/>
        </w:rPr>
        <w:t>建</w:t>
      </w:r>
    </w:p>
    <w:p>
      <w:pPr>
        <w:spacing w:line="360" w:lineRule="auto"/>
        <w:rPr>
          <w:rFonts w:ascii="仿宋_GB2312" w:hAnsi="宋体" w:eastAsia="仿宋_GB2312"/>
          <w:sz w:val="26"/>
          <w:szCs w:val="26"/>
        </w:rPr>
      </w:pPr>
      <w:r>
        <w:rPr>
          <w:rFonts w:hint="eastAsia" w:ascii="仿宋_GB2312" w:hAnsi="宋体" w:eastAsia="仿宋_GB2312"/>
          <w:sz w:val="26"/>
          <w:szCs w:val="26"/>
        </w:rPr>
        <w:t>33.行业人才分类培训体系建设</w:t>
      </w:r>
    </w:p>
    <w:p>
      <w:pPr>
        <w:spacing w:line="360" w:lineRule="auto"/>
        <w:rPr>
          <w:rFonts w:ascii="仿宋_GB2312" w:hAnsi="宋体" w:eastAsia="仿宋_GB2312"/>
          <w:sz w:val="26"/>
          <w:szCs w:val="26"/>
        </w:rPr>
      </w:pPr>
    </w:p>
    <w:p>
      <w:pPr>
        <w:spacing w:line="360" w:lineRule="auto"/>
        <w:rPr>
          <w:rFonts w:ascii="仿宋_GB2312" w:hAnsi="宋体" w:eastAsia="仿宋_GB2312"/>
          <w:sz w:val="26"/>
          <w:szCs w:val="26"/>
        </w:rPr>
      </w:pPr>
    </w:p>
    <w:p>
      <w:pPr>
        <w:spacing w:line="360" w:lineRule="auto"/>
        <w:rPr>
          <w:rFonts w:ascii="仿宋_GB2312" w:hAnsi="宋体" w:eastAsia="仿宋_GB2312"/>
          <w:sz w:val="26"/>
          <w:szCs w:val="26"/>
        </w:rPr>
      </w:pPr>
    </w:p>
    <w:p>
      <w:pPr>
        <w:spacing w:line="360" w:lineRule="auto"/>
        <w:rPr>
          <w:rFonts w:ascii="仿宋_GB2312" w:hAnsi="宋体" w:eastAsia="仿宋_GB2312"/>
          <w:sz w:val="26"/>
          <w:szCs w:val="26"/>
        </w:rPr>
      </w:pPr>
    </w:p>
    <w:p>
      <w:pPr>
        <w:spacing w:line="360" w:lineRule="auto"/>
        <w:rPr>
          <w:rFonts w:ascii="仿宋_GB2312" w:hAnsi="宋体" w:eastAsia="仿宋_GB2312"/>
          <w:sz w:val="26"/>
          <w:szCs w:val="26"/>
        </w:rPr>
      </w:pPr>
    </w:p>
    <w:p>
      <w:pPr>
        <w:spacing w:line="360" w:lineRule="auto"/>
        <w:rPr>
          <w:rFonts w:ascii="仿宋_GB2312" w:hAnsi="宋体" w:eastAsia="仿宋_GB2312"/>
          <w:sz w:val="26"/>
          <w:szCs w:val="26"/>
        </w:rPr>
      </w:pPr>
    </w:p>
    <w:p>
      <w:pPr>
        <w:spacing w:line="360" w:lineRule="auto"/>
        <w:rPr>
          <w:rFonts w:ascii="仿宋_GB2312" w:hAnsi="宋体" w:eastAsia="仿宋_GB2312"/>
          <w:sz w:val="26"/>
          <w:szCs w:val="26"/>
        </w:rPr>
      </w:pPr>
    </w:p>
    <w:p>
      <w:pPr>
        <w:spacing w:line="360" w:lineRule="auto"/>
        <w:rPr>
          <w:rFonts w:ascii="仿宋_GB2312" w:hAnsi="宋体" w:eastAsia="仿宋_GB2312"/>
          <w:sz w:val="26"/>
          <w:szCs w:val="26"/>
        </w:rPr>
      </w:pPr>
    </w:p>
    <w:p>
      <w:pPr>
        <w:spacing w:line="360" w:lineRule="auto"/>
        <w:rPr>
          <w:rFonts w:ascii="仿宋_GB2312" w:hAnsi="宋体" w:eastAsia="仿宋_GB2312"/>
          <w:sz w:val="26"/>
          <w:szCs w:val="26"/>
        </w:rPr>
      </w:pPr>
    </w:p>
    <w:p>
      <w:pPr>
        <w:spacing w:line="360" w:lineRule="auto"/>
        <w:rPr>
          <w:rFonts w:ascii="仿宋_GB2312" w:hAnsi="宋体" w:eastAsia="仿宋_GB2312"/>
          <w:sz w:val="26"/>
          <w:szCs w:val="26"/>
        </w:rPr>
      </w:pPr>
    </w:p>
    <w:p>
      <w:bookmarkStart w:id="0" w:name="_GoBack"/>
      <w:bookmarkEnd w:id="0"/>
    </w:p>
    <w:sectPr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525"/>
    <w:rsid w:val="00077C98"/>
    <w:rsid w:val="000D54E9"/>
    <w:rsid w:val="00144EF5"/>
    <w:rsid w:val="002656F9"/>
    <w:rsid w:val="003172F7"/>
    <w:rsid w:val="00452F0B"/>
    <w:rsid w:val="00647820"/>
    <w:rsid w:val="006950E4"/>
    <w:rsid w:val="006B55C7"/>
    <w:rsid w:val="00736371"/>
    <w:rsid w:val="00762779"/>
    <w:rsid w:val="00812DD4"/>
    <w:rsid w:val="00835D57"/>
    <w:rsid w:val="009126DE"/>
    <w:rsid w:val="0092439E"/>
    <w:rsid w:val="00954333"/>
    <w:rsid w:val="00A944A4"/>
    <w:rsid w:val="00B43431"/>
    <w:rsid w:val="00B55525"/>
    <w:rsid w:val="00C66A63"/>
    <w:rsid w:val="00CB5F36"/>
    <w:rsid w:val="00CC0B1E"/>
    <w:rsid w:val="00D1383D"/>
    <w:rsid w:val="00D25C16"/>
    <w:rsid w:val="00D36CDB"/>
    <w:rsid w:val="00D46C24"/>
    <w:rsid w:val="00DE6481"/>
    <w:rsid w:val="00DE6F9F"/>
    <w:rsid w:val="00E37939"/>
    <w:rsid w:val="00EE6635"/>
    <w:rsid w:val="00F662B3"/>
    <w:rsid w:val="00FF45ED"/>
    <w:rsid w:val="04033A20"/>
    <w:rsid w:val="529E2FF5"/>
    <w:rsid w:val="7CF3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iPriority w:val="99"/>
    <w:pPr>
      <w:snapToGrid w:val="0"/>
      <w:spacing w:line="324" w:lineRule="auto"/>
      <w:jc w:val="center"/>
    </w:pPr>
    <w:rPr>
      <w:rFonts w:ascii="Times New Roman" w:hAnsi="Times New Roman"/>
      <w:b/>
      <w:spacing w:val="-4"/>
      <w:sz w:val="36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  <w:style w:type="character" w:customStyle="1" w:styleId="9">
    <w:name w:val="正文文本 Char"/>
    <w:basedOn w:val="5"/>
    <w:link w:val="2"/>
    <w:uiPriority w:val="99"/>
    <w:rPr>
      <w:rFonts w:ascii="Times New Roman" w:hAnsi="Times New Roman" w:eastAsia="宋体" w:cs="Times New Roman"/>
      <w:b/>
      <w:spacing w:val="-4"/>
      <w:sz w:val="36"/>
      <w:szCs w:val="20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UQi.me</Company>
  <Pages>15</Pages>
  <Words>824</Words>
  <Characters>4702</Characters>
  <Lines>39</Lines>
  <Paragraphs>11</Paragraphs>
  <TotalTime>554</TotalTime>
  <ScaleCrop>false</ScaleCrop>
  <LinksUpToDate>false</LinksUpToDate>
  <CharactersWithSpaces>5515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2018-10-08T01:22:00Z</dcterms:created>
  <dc:creator>杨林生</dc:creator>
  <cp:lastModifiedBy>Administrator</cp:lastModifiedBy>
  <cp:lastPrinted>2018-10-16T02:47:00Z</cp:lastPrinted>
  <dcterms:modified xsi:type="dcterms:W3CDTF">2018-10-18T00:40:00Z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